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47" w:rsidRPr="00012CD5" w:rsidRDefault="00284547" w:rsidP="0028454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41"/>
        <w:gridCol w:w="2410"/>
        <w:gridCol w:w="141"/>
        <w:gridCol w:w="1276"/>
        <w:gridCol w:w="141"/>
        <w:gridCol w:w="1419"/>
        <w:gridCol w:w="141"/>
        <w:gridCol w:w="1276"/>
        <w:gridCol w:w="141"/>
        <w:gridCol w:w="426"/>
        <w:gridCol w:w="851"/>
      </w:tblGrid>
      <w:tr w:rsidR="0017631C" w:rsidTr="009977FF">
        <w:trPr>
          <w:gridAfter w:val="1"/>
          <w:wAfter w:w="851" w:type="dxa"/>
          <w:trHeight w:val="1275"/>
        </w:trPr>
        <w:tc>
          <w:tcPr>
            <w:tcW w:w="8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31C" w:rsidRDefault="0017631C" w:rsidP="000834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348F" w:rsidRPr="0008348F" w:rsidTr="009977FF">
        <w:trPr>
          <w:trHeight w:val="5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EXPEDIENTE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SERVIDOR(A)/</w:t>
            </w:r>
            <w:r w:rsid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EXSERVIDOR(A) PÚBLICO(A)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CONCLUSIÓN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FECHA DE NOTIFICACIÓN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ESTATUS DE LA RESOLUCIÓN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8348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SANCIÓN</w:t>
            </w:r>
          </w:p>
        </w:tc>
      </w:tr>
      <w:tr w:rsidR="0017631C" w:rsidRPr="0008348F" w:rsidTr="009977FF">
        <w:trPr>
          <w:trHeight w:val="300"/>
        </w:trPr>
        <w:tc>
          <w:tcPr>
            <w:tcW w:w="93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17631C" w:rsidRPr="0008348F" w:rsidRDefault="00176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48F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08348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8348F" w:rsidRPr="009977FF" w:rsidTr="009977FF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1C" w:rsidRPr="009977FF" w:rsidRDefault="009977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7FF">
              <w:rPr>
                <w:rFonts w:ascii="Arial" w:hAnsi="Arial" w:cs="Arial"/>
                <w:color w:val="000000"/>
                <w:sz w:val="20"/>
                <w:szCs w:val="20"/>
              </w:rPr>
              <w:t>RES-26/13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1C" w:rsidRPr="009977FF" w:rsidRDefault="00176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7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977FF">
              <w:rPr>
                <w:rFonts w:ascii="Arial" w:hAnsi="Arial" w:cs="Arial"/>
                <w:color w:val="000000"/>
                <w:sz w:val="20"/>
                <w:szCs w:val="20"/>
              </w:rPr>
              <w:t>RITA MARCELA ROBLES BENÍTEZ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1C" w:rsidRPr="009977FF" w:rsidRDefault="00176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7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977FF">
              <w:rPr>
                <w:rFonts w:ascii="Arial" w:hAnsi="Arial" w:cs="Arial"/>
                <w:color w:val="000000"/>
                <w:sz w:val="20"/>
                <w:szCs w:val="20"/>
              </w:rPr>
              <w:t>21-ago-13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1C" w:rsidRPr="009977FF" w:rsidRDefault="0099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21-ago-13</w:t>
            </w:r>
            <w:r w:rsidR="0017631C" w:rsidRPr="009977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1C" w:rsidRPr="009977FF" w:rsidRDefault="009977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firme</w:t>
            </w:r>
            <w:r w:rsidR="0017631C" w:rsidRPr="009977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31C" w:rsidRPr="009977FF" w:rsidRDefault="0017631C" w:rsidP="009977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7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977FF">
              <w:rPr>
                <w:rFonts w:ascii="Arial" w:hAnsi="Arial" w:cs="Arial"/>
                <w:color w:val="000000"/>
                <w:sz w:val="20"/>
                <w:szCs w:val="20"/>
              </w:rPr>
              <w:t>Inhabilitación 1 año</w:t>
            </w:r>
          </w:p>
        </w:tc>
      </w:tr>
      <w:tr w:rsidR="0017631C" w:rsidTr="009977FF">
        <w:trPr>
          <w:trHeight w:val="57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31C" w:rsidRDefault="0017631C" w:rsidP="008179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3871" w:rsidRDefault="00463871" w:rsidP="0026415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P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463871" w:rsidRDefault="00463871" w:rsidP="00463871">
      <w:pPr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F55E87" w:rsidRPr="00463871" w:rsidRDefault="00463871" w:rsidP="00463871">
      <w:pPr>
        <w:tabs>
          <w:tab w:val="left" w:pos="6168"/>
        </w:tabs>
        <w:rPr>
          <w:rFonts w:ascii="Arial Narrow" w:hAnsi="Arial Narrow" w:cs="ArialNarrow"/>
          <w:sz w:val="22"/>
          <w:szCs w:val="22"/>
          <w:lang w:val="es-ES" w:eastAsia="es-ES"/>
        </w:rPr>
      </w:pPr>
      <w:r>
        <w:rPr>
          <w:rFonts w:ascii="Arial Narrow" w:hAnsi="Arial Narrow" w:cs="ArialNarrow"/>
          <w:sz w:val="22"/>
          <w:szCs w:val="22"/>
          <w:lang w:val="es-ES" w:eastAsia="es-ES"/>
        </w:rPr>
        <w:tab/>
      </w:r>
    </w:p>
    <w:sectPr w:rsidR="00F55E87" w:rsidRPr="00463871" w:rsidSect="001B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B7" w:rsidRDefault="006E4DB7">
      <w:r>
        <w:separator/>
      </w:r>
    </w:p>
  </w:endnote>
  <w:endnote w:type="continuationSeparator" w:id="0">
    <w:p w:rsidR="006E4DB7" w:rsidRDefault="006E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D" w:rsidRDefault="00B91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5" w:rsidRPr="00E05095" w:rsidRDefault="00AC6CC5" w:rsidP="00AC6CC5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>
      <w:rPr>
        <w:rFonts w:ascii="Arial Narrow" w:hAnsi="Arial Narrow" w:cs="Arial"/>
        <w:b/>
      </w:rPr>
      <w:t>3</w:t>
    </w:r>
    <w:r w:rsidR="00B91E7D">
      <w:rPr>
        <w:rFonts w:ascii="Arial Narrow" w:hAnsi="Arial Narrow" w:cs="Arial"/>
        <w:b/>
      </w:rPr>
      <w:t>0</w:t>
    </w:r>
    <w:r>
      <w:rPr>
        <w:rFonts w:ascii="Arial Narrow" w:hAnsi="Arial Narrow" w:cs="Arial"/>
        <w:b/>
      </w:rPr>
      <w:t xml:space="preserve"> de </w:t>
    </w:r>
    <w:r w:rsidR="00A47E1E">
      <w:rPr>
        <w:rFonts w:ascii="Arial Narrow" w:hAnsi="Arial Narrow" w:cs="Arial"/>
        <w:b/>
      </w:rPr>
      <w:t>septiembre</w:t>
    </w:r>
    <w:r>
      <w:rPr>
        <w:rFonts w:ascii="Arial Narrow" w:hAnsi="Arial Narrow" w:cs="Arial"/>
        <w:b/>
      </w:rPr>
      <w:t xml:space="preserve"> de 201</w:t>
    </w:r>
    <w:r w:rsidR="00687883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AC6CC5" w:rsidRDefault="00AC6CC5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Pr="00E05095">
      <w:rPr>
        <w:rFonts w:ascii="Arial Narrow" w:hAnsi="Arial Narrow" w:cs="Arial"/>
      </w:rPr>
      <w:t xml:space="preserve">Fecha de validación: </w:t>
    </w:r>
    <w:r w:rsidR="00B91E7D" w:rsidRPr="00B91E7D">
      <w:rPr>
        <w:rFonts w:ascii="Arial Narrow" w:hAnsi="Arial Narrow" w:cs="Arial"/>
        <w:b/>
      </w:rPr>
      <w:t>1</w:t>
    </w:r>
    <w:r w:rsidR="00A0211A">
      <w:rPr>
        <w:rFonts w:ascii="Arial Narrow" w:hAnsi="Arial Narrow" w:cs="Arial"/>
        <w:b/>
      </w:rPr>
      <w:t>5</w:t>
    </w:r>
    <w:r w:rsidR="00B91F59">
      <w:rPr>
        <w:rFonts w:ascii="Arial Narrow" w:hAnsi="Arial Narrow" w:cs="Arial"/>
        <w:b/>
      </w:rPr>
      <w:t xml:space="preserve"> de </w:t>
    </w:r>
    <w:r w:rsidR="00B91E7D">
      <w:rPr>
        <w:rFonts w:ascii="Arial Narrow" w:hAnsi="Arial Narrow" w:cs="Arial"/>
        <w:b/>
      </w:rPr>
      <w:t>o</w:t>
    </w:r>
    <w:r w:rsidR="00A47E1E">
      <w:rPr>
        <w:rFonts w:ascii="Arial Narrow" w:hAnsi="Arial Narrow" w:cs="Arial"/>
        <w:b/>
      </w:rPr>
      <w:t>ctubre</w:t>
    </w:r>
    <w:r>
      <w:rPr>
        <w:rFonts w:ascii="Arial Narrow" w:hAnsi="Arial Narrow" w:cs="Arial"/>
        <w:b/>
      </w:rPr>
      <w:t xml:space="preserve"> de 201</w:t>
    </w:r>
    <w:r w:rsidR="000954C6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AC6CC5" w:rsidRDefault="00AC6CC5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284547" w:rsidRPr="005074A2" w:rsidRDefault="00AC6CC5" w:rsidP="00AC6CC5">
    <w:pPr>
      <w:pStyle w:val="Piedepgina"/>
      <w:rPr>
        <w:sz w:val="16"/>
        <w:szCs w:val="16"/>
      </w:rPr>
    </w:pPr>
    <w:r w:rsidRPr="005074A2">
      <w:rPr>
        <w:rFonts w:ascii="Arial" w:hAnsi="Arial" w:cs="Arial"/>
        <w:b/>
        <w:color w:val="BFBFBF"/>
        <w:sz w:val="16"/>
        <w:szCs w:val="16"/>
      </w:rPr>
      <w:t>misdocumentos/201</w:t>
    </w:r>
    <w:r w:rsidR="00687883">
      <w:rPr>
        <w:rFonts w:ascii="Arial" w:hAnsi="Arial" w:cs="Arial"/>
        <w:b/>
        <w:color w:val="BFBFBF"/>
        <w:sz w:val="16"/>
        <w:szCs w:val="16"/>
      </w:rPr>
      <w:t>6</w:t>
    </w:r>
    <w:r w:rsidRPr="005074A2">
      <w:rPr>
        <w:rFonts w:ascii="Arial" w:hAnsi="Arial" w:cs="Arial"/>
        <w:b/>
        <w:color w:val="BFBFBF"/>
        <w:sz w:val="16"/>
        <w:szCs w:val="16"/>
      </w:rPr>
      <w:t>/transparencia</w:t>
    </w:r>
    <w:r w:rsidR="006C5AA6" w:rsidRPr="005074A2">
      <w:rPr>
        <w:rFonts w:ascii="Arial" w:hAnsi="Arial" w:cs="Arial"/>
        <w:b/>
        <w:color w:val="BFBFBF"/>
        <w:sz w:val="16"/>
        <w:szCs w:val="16"/>
      </w:rPr>
      <w:t>/</w:t>
    </w:r>
    <w:r w:rsidR="00687883">
      <w:rPr>
        <w:rFonts w:ascii="Arial" w:hAnsi="Arial" w:cs="Arial"/>
        <w:b/>
        <w:color w:val="BFBFBF"/>
        <w:sz w:val="16"/>
        <w:szCs w:val="16"/>
      </w:rPr>
      <w:t>primr</w:t>
    </w:r>
    <w:r w:rsidR="006573BB">
      <w:rPr>
        <w:rFonts w:ascii="Arial" w:hAnsi="Arial" w:cs="Arial"/>
        <w:b/>
        <w:color w:val="BFBFBF"/>
        <w:sz w:val="16"/>
        <w:szCs w:val="16"/>
      </w:rPr>
      <w:t xml:space="preserve"> </w:t>
    </w:r>
    <w:r w:rsidR="005074A2" w:rsidRPr="005074A2">
      <w:rPr>
        <w:rFonts w:ascii="Arial" w:hAnsi="Arial" w:cs="Arial"/>
        <w:b/>
        <w:color w:val="BFBFBF"/>
        <w:sz w:val="16"/>
        <w:szCs w:val="16"/>
      </w:rPr>
      <w:t>trim/mas inf 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D" w:rsidRDefault="00B91E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B7" w:rsidRDefault="006E4DB7">
      <w:r>
        <w:separator/>
      </w:r>
    </w:p>
  </w:footnote>
  <w:footnote w:type="continuationSeparator" w:id="0">
    <w:p w:rsidR="006E4DB7" w:rsidRDefault="006E4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D" w:rsidRDefault="00B91E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47" w:rsidRPr="00A3575E" w:rsidRDefault="00FA193D" w:rsidP="0028454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7" name="Imagen 7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4CA" w:rsidRPr="00E104CA" w:rsidRDefault="00284547" w:rsidP="00E104CA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E104CA" w:rsidRPr="00E104CA" w:rsidRDefault="00E104CA" w:rsidP="00E104CA">
    <w:pPr>
      <w:jc w:val="both"/>
      <w:rPr>
        <w:rFonts w:ascii="Arial Narrow" w:hAnsi="Arial Narrow" w:cs="Arial"/>
        <w:b/>
      </w:rPr>
    </w:pPr>
  </w:p>
  <w:p w:rsidR="00284547" w:rsidRPr="00402114" w:rsidRDefault="00284547" w:rsidP="0017631C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</w:t>
    </w:r>
    <w:r w:rsidR="0017631C">
      <w:rPr>
        <w:rFonts w:ascii="Arial Narrow" w:hAnsi="Arial Narrow" w:cs="Arial"/>
        <w:b/>
      </w:rPr>
      <w:t xml:space="preserve">Más Información: </w:t>
    </w:r>
    <w:r w:rsidR="0008348F" w:rsidRPr="00402114">
      <w:rPr>
        <w:rFonts w:ascii="Arial" w:hAnsi="Arial" w:cs="Arial"/>
        <w:bCs/>
        <w:sz w:val="20"/>
        <w:szCs w:val="20"/>
      </w:rPr>
      <w:t xml:space="preserve">Procedimientos Administrativos radicados en la Contraloría Interna, en el que se impusieron sanciones por haber omitido la presentación o presentación oportuna de la declaración de situación patrimonial en cualquiera de sus modalidades, en términos de la Ley Federal de Responsabilidades de los Servidores Públicos, actualizados al </w:t>
    </w:r>
    <w:r w:rsidR="0074452B">
      <w:rPr>
        <w:rFonts w:ascii="Arial" w:hAnsi="Arial" w:cs="Arial"/>
        <w:bCs/>
        <w:sz w:val="20"/>
        <w:szCs w:val="20"/>
      </w:rPr>
      <w:t>Cuarto</w:t>
    </w:r>
    <w:r w:rsidR="0008348F" w:rsidRPr="00402114">
      <w:rPr>
        <w:rFonts w:ascii="Arial" w:hAnsi="Arial" w:cs="Arial"/>
        <w:bCs/>
        <w:sz w:val="20"/>
        <w:szCs w:val="20"/>
      </w:rPr>
      <w:t xml:space="preserve"> Trimestre de 2013.</w:t>
    </w:r>
  </w:p>
  <w:p w:rsidR="0008348F" w:rsidRPr="00402114" w:rsidRDefault="00284547" w:rsidP="00E104CA">
    <w:pPr>
      <w:jc w:val="both"/>
      <w:rPr>
        <w:rFonts w:ascii="Arial Narrow" w:hAnsi="Arial Narrow" w:cs="Arial"/>
      </w:rPr>
    </w:pPr>
    <w:r w:rsidRPr="00402114">
      <w:rPr>
        <w:rFonts w:ascii="Arial Narrow" w:hAnsi="Arial Narrow" w:cs="Arial"/>
      </w:rPr>
      <w:t xml:space="preserve"> </w:t>
    </w:r>
  </w:p>
  <w:p w:rsidR="00284547" w:rsidRPr="00E104CA" w:rsidRDefault="00284547" w:rsidP="00E104CA">
    <w:pPr>
      <w:jc w:val="both"/>
      <w:rPr>
        <w:rFonts w:ascii="Arial Narrow" w:hAnsi="Arial Narrow" w:cs="Arial"/>
        <w:b/>
      </w:rPr>
    </w:pPr>
    <w:r w:rsidRPr="00E104CA">
      <w:rPr>
        <w:rFonts w:ascii="Arial Narrow" w:hAnsi="Arial Narrow" w:cs="Arial"/>
        <w:b/>
      </w:rPr>
      <w:t xml:space="preserve">Periodo: </w:t>
    </w:r>
    <w:r w:rsidR="00E104CA" w:rsidRPr="00E104CA">
      <w:rPr>
        <w:rFonts w:ascii="Arial Narrow" w:hAnsi="Arial Narrow" w:cs="Arial"/>
      </w:rPr>
      <w:t xml:space="preserve">Enero – </w:t>
    </w:r>
    <w:r w:rsidR="0074452B">
      <w:rPr>
        <w:rFonts w:ascii="Arial Narrow" w:hAnsi="Arial Narrow" w:cs="Arial"/>
      </w:rPr>
      <w:t>Dic</w:t>
    </w:r>
    <w:r w:rsidR="008179D2">
      <w:rPr>
        <w:rFonts w:ascii="Arial Narrow" w:hAnsi="Arial Narrow" w:cs="Arial"/>
      </w:rPr>
      <w:t>iembre</w:t>
    </w:r>
    <w:r w:rsidR="00E104CA" w:rsidRPr="00E104CA">
      <w:rPr>
        <w:rFonts w:ascii="Arial Narrow" w:hAnsi="Arial Narrow" w:cs="Arial"/>
      </w:rPr>
      <w:t xml:space="preserve"> 201</w:t>
    </w:r>
    <w:r w:rsidR="00BA2D98">
      <w:rPr>
        <w:rFonts w:ascii="Arial Narrow" w:hAnsi="Arial Narrow" w:cs="Arial"/>
      </w:rPr>
      <w:t>3</w:t>
    </w:r>
  </w:p>
  <w:p w:rsidR="00284547" w:rsidRPr="00E104CA" w:rsidRDefault="00284547" w:rsidP="00E104CA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7D" w:rsidRDefault="00B91E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E"/>
    <w:rsid w:val="00036F54"/>
    <w:rsid w:val="00040541"/>
    <w:rsid w:val="000457E3"/>
    <w:rsid w:val="0006635A"/>
    <w:rsid w:val="0008348F"/>
    <w:rsid w:val="000954C6"/>
    <w:rsid w:val="000B1557"/>
    <w:rsid w:val="000D002C"/>
    <w:rsid w:val="000E1510"/>
    <w:rsid w:val="0017631C"/>
    <w:rsid w:val="00187F9D"/>
    <w:rsid w:val="001B312F"/>
    <w:rsid w:val="0022486D"/>
    <w:rsid w:val="00264157"/>
    <w:rsid w:val="002650B7"/>
    <w:rsid w:val="00284547"/>
    <w:rsid w:val="00290758"/>
    <w:rsid w:val="002B2526"/>
    <w:rsid w:val="002D4E71"/>
    <w:rsid w:val="002F27CB"/>
    <w:rsid w:val="00375D18"/>
    <w:rsid w:val="0038527B"/>
    <w:rsid w:val="00391323"/>
    <w:rsid w:val="00391FFA"/>
    <w:rsid w:val="003A24C6"/>
    <w:rsid w:val="00402114"/>
    <w:rsid w:val="00453B31"/>
    <w:rsid w:val="00463871"/>
    <w:rsid w:val="00484427"/>
    <w:rsid w:val="004B0E03"/>
    <w:rsid w:val="004F1744"/>
    <w:rsid w:val="005074A2"/>
    <w:rsid w:val="005103BD"/>
    <w:rsid w:val="00536935"/>
    <w:rsid w:val="00542B1B"/>
    <w:rsid w:val="005654D9"/>
    <w:rsid w:val="00570C58"/>
    <w:rsid w:val="006573BB"/>
    <w:rsid w:val="00687883"/>
    <w:rsid w:val="006A5502"/>
    <w:rsid w:val="006C5AA6"/>
    <w:rsid w:val="006E4DB7"/>
    <w:rsid w:val="007073AA"/>
    <w:rsid w:val="0074452B"/>
    <w:rsid w:val="00762E51"/>
    <w:rsid w:val="007B2189"/>
    <w:rsid w:val="00814CD4"/>
    <w:rsid w:val="008179D2"/>
    <w:rsid w:val="008E0AD7"/>
    <w:rsid w:val="008F381F"/>
    <w:rsid w:val="00922529"/>
    <w:rsid w:val="00980D55"/>
    <w:rsid w:val="009977FF"/>
    <w:rsid w:val="00997D23"/>
    <w:rsid w:val="009D51AB"/>
    <w:rsid w:val="00A0211A"/>
    <w:rsid w:val="00A3413E"/>
    <w:rsid w:val="00A47E1E"/>
    <w:rsid w:val="00A72342"/>
    <w:rsid w:val="00A74C5A"/>
    <w:rsid w:val="00AC6CC5"/>
    <w:rsid w:val="00AC6E8D"/>
    <w:rsid w:val="00AD52B2"/>
    <w:rsid w:val="00B164AC"/>
    <w:rsid w:val="00B91E7D"/>
    <w:rsid w:val="00B91F59"/>
    <w:rsid w:val="00BA2D98"/>
    <w:rsid w:val="00C306AD"/>
    <w:rsid w:val="00C964D0"/>
    <w:rsid w:val="00CC2A39"/>
    <w:rsid w:val="00CE0805"/>
    <w:rsid w:val="00CF1FED"/>
    <w:rsid w:val="00D2022D"/>
    <w:rsid w:val="00DA0D51"/>
    <w:rsid w:val="00DD286E"/>
    <w:rsid w:val="00DE137D"/>
    <w:rsid w:val="00E104CA"/>
    <w:rsid w:val="00E515BD"/>
    <w:rsid w:val="00E62B63"/>
    <w:rsid w:val="00E77283"/>
    <w:rsid w:val="00E9367F"/>
    <w:rsid w:val="00EB0024"/>
    <w:rsid w:val="00F37FBA"/>
    <w:rsid w:val="00F55E87"/>
    <w:rsid w:val="00F57B5D"/>
    <w:rsid w:val="00FA193D"/>
    <w:rsid w:val="00FC1C63"/>
    <w:rsid w:val="00FC3E1E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5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A3575E"/>
    <w:rPr>
      <w:rFonts w:ascii="Courier New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semiHidden/>
    <w:rsid w:val="00A3575E"/>
    <w:rPr>
      <w:sz w:val="16"/>
      <w:szCs w:val="16"/>
    </w:rPr>
  </w:style>
  <w:style w:type="paragraph" w:styleId="Textocomentario">
    <w:name w:val="annotation text"/>
    <w:basedOn w:val="Normal"/>
    <w:semiHidden/>
    <w:rsid w:val="00A35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3575E"/>
    <w:rPr>
      <w:b/>
      <w:bCs/>
    </w:rPr>
  </w:style>
  <w:style w:type="paragraph" w:styleId="Textodeglobo">
    <w:name w:val="Balloon Text"/>
    <w:basedOn w:val="Normal"/>
    <w:semiHidden/>
    <w:rsid w:val="00A357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DA5A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2C3C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3C00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5E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rsid w:val="00A3575E"/>
    <w:rPr>
      <w:rFonts w:ascii="Courier New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semiHidden/>
    <w:rsid w:val="00A3575E"/>
    <w:rPr>
      <w:sz w:val="16"/>
      <w:szCs w:val="16"/>
    </w:rPr>
  </w:style>
  <w:style w:type="paragraph" w:styleId="Textocomentario">
    <w:name w:val="annotation text"/>
    <w:basedOn w:val="Normal"/>
    <w:semiHidden/>
    <w:rsid w:val="00A35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3575E"/>
    <w:rPr>
      <w:b/>
      <w:bCs/>
    </w:rPr>
  </w:style>
  <w:style w:type="paragraph" w:styleId="Textodeglobo">
    <w:name w:val="Balloon Text"/>
    <w:basedOn w:val="Normal"/>
    <w:semiHidden/>
    <w:rsid w:val="00A357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A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3">
    <w:name w:val="Table Web 3"/>
    <w:basedOn w:val="Tablanormal"/>
    <w:rsid w:val="00DA5A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2C3C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3C0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Derechos Humanos del Distrito Federal</vt:lpstr>
    </vt:vector>
  </TitlesOfParts>
  <Company>CDHDF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Derechos Humanos del Distrito Federal</dc:title>
  <dc:creator>jelizaldem</dc:creator>
  <cp:lastModifiedBy>mesparzam</cp:lastModifiedBy>
  <cp:revision>2</cp:revision>
  <cp:lastPrinted>2015-04-08T17:44:00Z</cp:lastPrinted>
  <dcterms:created xsi:type="dcterms:W3CDTF">2016-10-28T18:23:00Z</dcterms:created>
  <dcterms:modified xsi:type="dcterms:W3CDTF">2016-10-28T18:23:00Z</dcterms:modified>
</cp:coreProperties>
</file>